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Акушерское дело ПСА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Среднее образование | Специализация: Акушерское дело ПСА | Записей: 1 | Кейс: 2 | Вопросов: 12</w:t>
      </w:r>
    </w:p>
    <w:p>
      <w:r>
        <w:br w:type="page"/>
      </w:r>
    </w:p>
    <w:p>
      <w:pPr>
        <w:pStyle w:val="Heading1"/>
      </w:pPr>
      <w:r>
        <w:t>Акушерское дело ПСА - кейс 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кабинет доврачебного приема женской консультации обратилась женщина 36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менструации, слабость, сонливость, тошноту по утрам. Тест на беременность положительный.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Задержка менструации около трех месяцев. Тошнота, слабость и сонливость возникли примерно два месяца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детстве перенесла: ветряную оспу, коревую краснуху. +</w:t>
        <w:br/>
        <w:t>Хронические экстрагенитальные заболевания: отрицает. +</w:t>
        <w:br/>
        <w:t>Аллергические реакции: отрицает. +</w:t>
        <w:br/>
        <w:t>Наследственный анамнез: не отягощен. +</w:t>
        <w:br/>
        <w:t>Вредные привычки: отрицает. +</w:t>
        <w:br/>
        <w:t>Работает ландшафтным дизайнером.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170 см, масса тела 75 кг. Кожа и видимые слизистые чистые, нормальной окраски. АД 115/70 мм рт. ст. на правой руке и 115/75 мм рт. ст. на левой руке. ЧСС 80 ударов в минуту. Дыхание везикулярное. Лимфатические узлы не пальпируются. Симптом поколачивания по пояснице отрицательный с обеих сторон. Видимых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предварительного диагноза пациентке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пальпаторное определение признака Альфельда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пальпация живота приемами Леопольда-Левицкого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 и пальпация 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сбор акушерско-гинекологического анамнеза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выслушивание сердцебиения плода акушерским стетоскопом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тургора кожных покровов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осмотр и пальпация молочных желез; сбор акушерско-гинекологического анамнеза</w:t>
      </w:r>
    </w:p>
    <w:p>
      <w:pPr>
        <w:ind w:left="504"/>
      </w:pPr>
      <w:r>
        <w:rPr>
          <w:b w:val="0"/>
          <w:i/>
        </w:rPr>
        <w:t>Рекомендована пальпация молочных желез у пациентки, планирующей беременность (на прегравидарном этапе), и у беременной пациентки при 1-м визите с целью диагностики узловых образований молочных желез.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Сбор анамнеза должен включать следующие данные пациентки:</w:t>
        <w:br/>
        <w:br/>
        <w:t>* характер менструаций (возраст менархе, длительность и регулярность менструального цикла, продолжительность менструального кровотечения, болезненность),</w:t>
        <w:br/>
        <w:t>* акушерский анамнез (число беременностей и родов в анамнезе и их исход, наличие осложнений беременности, родов и/или абортов, весоростовые показатели и состояние здоровья рожденных детей, способ достижения беременности – самопроизвольная беременность или беременность в результате ВРТ),</w:t>
        <w:br/>
        <w:t>* перенесенные и имеющиеся гинекологические заболевания, оперативные вмешательства на органах малого таза.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2.1 Жалобы и анамнез.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Cбор акушерско-гинекологического анамнеза</w:t>
      </w:r>
    </w:p>
    <w:p>
      <w:pPr>
        <w:spacing w:after="58"/>
      </w:pPr>
      <w:r>
        <w:rPr>
          <w:b w:val="0"/>
          <w:i w:val="0"/>
        </w:rPr>
        <w:t>Менархе в 13 лет. +</w:t>
        <w:br/>
        <w:t>Менструации регулярные, через 28 дней по 4 дня умеренные, безболезненные. +</w:t>
        <w:br/>
        <w:t>Последняя менструация около трёх месяцев назад. +</w:t>
        <w:br/>
        <w:t>Половой жизнью живет 15 лет, в браке. +</w:t>
        <w:br/>
        <w:t>Настоящая беременность – вторая: +</w:t>
        <w:br/>
        <w:t>первая беременность была 7 лет назад, закончилась своевременными родами живым мальчиком, массой 3550 г, длиной 53 см. +</w:t>
        <w:br/>
        <w:t>Гинекологические заболевания отрицает.</w:t>
      </w:r>
    </w:p>
    <w:p>
      <w:pPr>
        <w:pStyle w:val="Heading3"/>
      </w:pPr>
      <w:r>
        <w:t>3.2. Осмотр и пальпация молочных желез</w:t>
      </w:r>
    </w:p>
    <w:p>
      <w:pPr>
        <w:spacing w:after="58"/>
      </w:pPr>
      <w:r>
        <w:rPr>
          <w:b w:val="0"/>
          <w:i w:val="0"/>
        </w:rPr>
        <w:t>Молочные железы развиты правильно, симметричны, нормальной равномерной окраски, мягкие, безболезненные. Соски пигментированы, вокруг соска определяются радиарные утолщения (положительный признак Ринмана), что является сомнительным признаком беременности.</w:t>
      </w:r>
    </w:p>
    <w:p>
      <w:pPr>
        <w:pStyle w:val="Heading3"/>
      </w:pPr>
      <w:r>
        <w:t>3.4. Выслушивание сердцебиения плода акушерским стетоскопом</w:t>
      </w:r>
    </w:p>
    <w:p>
      <w:pPr>
        <w:spacing w:after="58"/>
      </w:pPr>
      <w:r>
        <w:rPr>
          <w:b w:val="0"/>
          <w:i w:val="0"/>
        </w:rPr>
        <w:t>Сердцебиение плода не выслушивается.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предварительного диагноза пациентке в данной ситуации необходимо определить срок беременности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высоте стояния дна матки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окружности живота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первому шевелению плода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последней менструации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последней менструации</w:t>
      </w:r>
    </w:p>
    <w:p>
      <w:pPr>
        <w:ind w:left="504"/>
      </w:pPr>
      <w:r>
        <w:rPr>
          <w:b w:val="0"/>
          <w:i/>
        </w:rPr>
        <w:t>Рекомендовано определение срока беременности и родов по дате последней менструации и данным ультразвукового исследования у беременной пациентки при 1-м визите.</w:t>
        <w:br/>
        <w:br/>
        <w:t>Комментарии: При расчете срока родов по дате последней менструации необходимо прибавить 280 дней (40 недель) к первому дню последней менструации (при 28-дневном менструальном цикле). При иной длительности менструального цикла необходимо вносить поправки в расчет срока родов с сторону увеличения срока при более длинном цикле и в сторону уменьшения срока при более коротком цикле.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Определение срока беременности по дате последней менструации</w:t>
      </w:r>
    </w:p>
    <w:p>
      <w:pPr>
        <w:spacing w:after="58"/>
      </w:pPr>
      <w:r>
        <w:rPr>
          <w:b w:val="0"/>
          <w:i w:val="0"/>
        </w:rPr>
        <w:t>Беременность 12/13 недель.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Необходимым для подтверждения предварительного диагноза пациентки аппаратным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тональная аудиометрия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 - фетометрия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спирометрия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PH – метрия влагалища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 - фетометрия</w:t>
      </w:r>
    </w:p>
    <w:p>
      <w:pPr>
        <w:ind w:left="504"/>
      </w:pPr>
      <w:r>
        <w:rPr>
          <w:b w:val="0"/>
          <w:i/>
        </w:rPr>
        <w:t>Рекомендовано определение срока беременности и родов по дате последней менструации и данным ультразвукового исследования у беременной пациентки при 1-м визите.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3"/>
      </w:pPr>
      <w:r>
        <w:t>6.1. УЗ - фетометрия</w:t>
      </w:r>
    </w:p>
    <w:p>
      <w:pPr>
        <w:spacing w:after="58"/>
      </w:pPr>
      <w:r>
        <w:rPr>
          <w:b w:val="0"/>
          <w:i w:val="0"/>
        </w:rPr>
        <w:t>Копчико-теменной размер (КТР) – 63 мм, +</w:t>
        <w:br/>
        <w:t>Бипариетальный размер головы – 20 мм, +</w:t>
        <w:br/>
        <w:t>Окружность головы – 69 мм +</w:t>
        <w:br/>
        <w:t>Окружность живота  - 59 мм +</w:t>
        <w:br/>
        <w:t>Бедренная кость слева – 7,7 мм +</w:t>
        <w:br/>
        <w:t>Бедренная кость справа – 7,7 мм +</w:t>
        <w:br/>
        <w:t>ТВП – 2,48 мм</w:t>
      </w:r>
    </w:p>
    <w:p>
      <w:pPr>
        <w:spacing w:after="58"/>
      </w:pPr>
      <w:r>
        <w:rPr>
          <w:b w:val="0"/>
          <w:i w:val="0"/>
        </w:rPr>
        <w:t>*Заключение*: беременность 12 недель 5 дней (по КТР и фетометрическим данным).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результаты обследования, можно поставить пациентке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Токсикоз первой половины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Беременность II, токсикоз первой половины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Беременность I, 12 недель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Беременность 12 недель 5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Беременность 12 недель 5 дней</w:t>
      </w:r>
    </w:p>
    <w:p>
      <w:pPr>
        <w:ind w:left="504"/>
      </w:pPr>
      <w:r>
        <w:rPr>
          <w:b w:val="0"/>
          <w:i/>
        </w:rPr>
        <w:t>По данным УЗИ органов малого таза: КТР плода соответствует 12 неделям 5 дням беременности.</w:t>
        <w:br/>
        <w:br/>
        <w:t>Критерии диагноза</w:t>
        <w:br/>
        <w:br/>
        <w:t>Нормальная беременность диагностируется при визуализации в полости матки одного эмбриона/плода с наличием сердцебиения без пороков развития при ультразвуковом исследовании.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Беременность 12 недель 5 дней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После установления предварительного диагноза акушерка кабинета доврачебного приема женской консультации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назначает амбулаторное лечение раннего токсикоза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оформляет индивидуальную карту беременной и родильницы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рекомендует искусственное прерывание беременности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направляет пациентку на госпитализацию в стационар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оформляет индивидуальную карту беременной и родильницы</w:t>
      </w:r>
    </w:p>
    <w:p>
      <w:pPr>
        <w:ind w:left="504"/>
      </w:pPr>
      <w:r>
        <w:rPr>
          <w:b w:val="0"/>
          <w:i/>
        </w:rPr>
        <w:t>К функциям акушерки женской консультации при приеме беременной женщины для постановки на диспансерный учет относится:</w:t>
        <w:br/>
        <w:t>оформление индивидуальной карты беременной и родильницы, внесение в нее сведений, выписывание направления на исследования и консультации к врачам-специалистам, информирование пациента о датах и времени их прохождения, о необходимости подготовки к исследованиям.</w:t>
        <w:br/>
        <w:br/>
        <w:t>Приказ Министерства здравоохранения РФ  от 20 октября 2020 года N 1130н «Об утверждении Порядка оказания медицинской помощи по профилю "акушерство и гинекология"». Приложение N 1. Правила организации деятельности женской консультации.</w:t>
        <w:br/>
        <w:br/>
      </w:r>
      <w:hyperlink r:id="rId14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Акушерка кабинета доврачебного приема женской консультации рекомендует пациентке посещение врача – стоматолога  _____ раз(-а) за беременность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и беременную пациентку дважды: при 1-м визите (при 1-м визите в 1-м или 2-м триместре беременности) и в 3-м триместре беременности, на консультацию врача-терапевта и консультацию врача-стоматолога с целью своевременной диагностики и лечения соматических заболеваний и санации очагов инфекции.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  <w:t>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2.5 Иные диагностические исследования.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Акушерка кабинета доврачебного приема женской консультации рекомендует пациентке посещение врача – офтальмолога  _____ раз (а) за беременность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1-м визите на консультацию врача-офтальмолога с целью диагностики и лечения заболеваний глаз и выявления противопоказаний к родоразрешению через естественные родовые пути.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  <w:t>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2.5 Иные диагностические исследования.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постановке на учёт по беременности акушерка кабинета доврачебного приема женской консультации информирует пациентку по вопросам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причин интранатальной гибели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ухода за новорожденным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здорового питания и гигиены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течения родов по периодам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здорового питания и гигиены</w:t>
      </w:r>
    </w:p>
    <w:p>
      <w:pPr>
        <w:ind w:left="504"/>
      </w:pPr>
      <w:r>
        <w:rPr>
          <w:b w:val="0"/>
          <w:i/>
        </w:rPr>
        <w:t>К функциям акушерки женской консультации при приеме беременной женщины для постановки на диспансерный учет относится:</w:t>
        <w:br/>
        <w:t>проведение первичной консультации по принципам здорового питания, гигиене.</w:t>
        <w:br/>
        <w:br/>
        <w:t>Приказ Министерства здравоохранения РФ  от 20 октября 2020 года N 1130н «Об утверждении Порядка оказания медицинской помощи по профилю "акушерство и гинекология"». Приложение N 1. Правила организации деятельности женской консультации. Пункт 14.1.</w:t>
        <w:br/>
        <w:br/>
      </w:r>
      <w:hyperlink r:id="rId14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Анализ крови на определение связанного с беременностью плазменного протеина А (РАРР-А) беременная должна сдавать на сроке +_____+ недель гестации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11-14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30-34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16-18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22-27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11-14</w:t>
      </w:r>
    </w:p>
    <w:p>
      <w:pPr>
        <w:ind w:left="504"/>
      </w:pPr>
      <w:r>
        <w:rPr>
          <w:b w:val="0"/>
          <w:i/>
        </w:rPr>
        <w:t>На первом этапе при сроке беременности 11-14 недель беременная женщина направляется в межрайонный (межмуниципальный) кабинет антенатальной охраны плода при медицинской организации акушерского профиля второй или третьей группы (уровня) для проведения ультразвукового исследования (далее - УЗИ) врачами-специалистами, прошедшими повышение квалификации по проведению скринингового УЗИ беременных в I триместре (диагностике нарушений развития плода), и забора образцов крови для определения материнских сывороточных маркеров (связанного с беременностью плазменного протеина А (РАРР-А) и свободной бета-субъединицы хорионического гонадотропина (св. β -ед. ХГЧ).</w:t>
        <w:br/>
        <w:br/>
        <w:t>Приказ Министерства здравоохранения РФ от 20 октября 2020 года N 1130н «Об утверждении Порядка оказания медицинской помощи по профилю "акушерство и гинекология"». Приложение N 1. Порядок оказания медицинской помощи по профилю "акушерство и гинекология". I. Оказание медицинской помощи женщинам в период беременности.</w:t>
        <w:br/>
        <w:br/>
      </w:r>
      <w:hyperlink r:id="rId19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в данной ситуации акушерка кабинета доврачебного приема женской консультации рекомендует сдавать общий анализ мочи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трижды за беременность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однократно при постановке на учёт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дважды за беременность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каждой явке в ЖК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трижды за беременность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трижды: при 1-м визите (при 1-м визите в 1-м триместре беременности), во 2-м и в 3-м триместре беременности на общий (клинический) анализ мочи с целью выявления и своевременного лечения заболеваний мочевыводящей системы для профилактики акушерских и перинатальных осложнений.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Наиболее достоверным методом определения срока беременности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показатель высоты стояния дна матки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УЗИ в I триместре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дата первого шевеления плода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формула Негеле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УЗИ в I триместре</w:t>
      </w:r>
    </w:p>
    <w:p>
      <w:pPr>
        <w:ind w:left="504"/>
      </w:pPr>
      <w:r>
        <w:rPr>
          <w:b w:val="0"/>
          <w:i/>
        </w:rPr>
        <w:t>При расчете срока беременности и родов по данным УЗИ в 1-м триместре беременности следует использовать показатель копчико-теменного размера (КТР) плода, на более поздних сроках беременности (при КТР &gt; 84 мм) - показатель окружности головки плода.</w:t>
        <w:br/>
        <w:br/>
        <w:t>При отсутствии УЗИ в 1-м триместре беременности и отсутствии информации о дате последней менструации, срок беременности и родов может быть установлен по данным других УЗИ.</w:t>
        <w:br/>
        <w:br/>
        <w:t>При расхождении срока по дате последней менструации и срока по УЗИ, проведенного в 11,0-13,6  недель, срок беременности и родов следует устанавливать по данным УЗИ, так как это метод является наиболее точным.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Кратность проведения обследования беременной регламентируется приказом МЗ РФ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20 июня 2013г. №388н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 1 ноября 2012 г. № 572н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 20 октября 2020 г. № 1130н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 Соц. развития РФ от 2 октября 2009 г. № 808н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20 октября 2020 г. № 1130н</w:t>
      </w:r>
    </w:p>
    <w:p>
      <w:pPr>
        <w:ind w:left="504"/>
      </w:pPr>
      <w:r>
        <w:rPr>
          <w:b w:val="0"/>
          <w:i/>
        </w:rPr>
        <w:t>.</w:t>
        <w:tab/>
        <w:t>Настоящий Порядок регулирует оказание медицинской помощи по профилям "акушерство и гинекология (за исключением использования вспомогательных репродуктивных технологий и искусственного прерывания беременности)" и "акушерство и гинекология (искусственное прерывание беременности)".</w:t>
        <w:br/>
        <w:t>.</w:t>
        <w:tab/>
        <w:t>Действие настоящего Порядка распространяется на медицинские организации, оказывающие медицинскую помощь по профилю "акушерство и гинекология", независимо от форм собственности.</w:t>
        <w:br/>
        <w:br/>
        <w:t>Приказ Министерства здравоохранения РФ от 20 октября 2020 года N 1130н «Об утверждении Порядка оказания медицинской помощи по профилю "акушерство и гинекология"». Приложение N 1. Порядок оказания медицинской помощи по профилю "акушерство и гинекология".</w:t>
        <w:br/>
        <w:br/>
      </w:r>
      <w:hyperlink r:id="rId19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88_23/" TargetMode="External"/><Relationship Id="rId10" Type="http://schemas.openxmlformats.org/officeDocument/2006/relationships/hyperlink" Target="https://library.mededtech.ru/rest/documents/KP288_23/#list_item_7bmfa0" TargetMode="External"/><Relationship Id="rId11" Type="http://schemas.openxmlformats.org/officeDocument/2006/relationships/hyperlink" Target="https://library.mededtech.ru/rest/documents/KP288_23/#list_item_lro3mt" TargetMode="External"/><Relationship Id="rId12" Type="http://schemas.openxmlformats.org/officeDocument/2006/relationships/hyperlink" Target="https://library.mededtech.ru/rest/documents/KP288_23/#list_item_6lrpm1" TargetMode="External"/><Relationship Id="rId13" Type="http://schemas.openxmlformats.org/officeDocument/2006/relationships/hyperlink" Target="https://library.mededtech.ru/rest/documents/KP288_23/#paragraph_q17p2c" TargetMode="External"/><Relationship Id="rId14" Type="http://schemas.openxmlformats.org/officeDocument/2006/relationships/hyperlink" Target="https://library.mededtech.ru/rest/documents/prikazN1130/" TargetMode="External"/><Relationship Id="rId15" Type="http://schemas.openxmlformats.org/officeDocument/2006/relationships/hyperlink" Target="https://library.mededtech.ru/rest/documents/prikazN1130/#list_item_3i2i7l" TargetMode="External"/><Relationship Id="rId16" Type="http://schemas.openxmlformats.org/officeDocument/2006/relationships/hyperlink" Target="https://library.mededtech.ru/rest/documents/KP288_23/#list_item_l8j69o" TargetMode="External"/><Relationship Id="rId17" Type="http://schemas.openxmlformats.org/officeDocument/2006/relationships/hyperlink" Target="https://library.mededtech.ru/rest/documents/KP288_23/#list_item_ka51a2" TargetMode="External"/><Relationship Id="rId18" Type="http://schemas.openxmlformats.org/officeDocument/2006/relationships/hyperlink" Target="https://library.mededtech.ru/rest/documents/prikazN1130/index.html#list_item_3i2i7l" TargetMode="External"/><Relationship Id="rId19" Type="http://schemas.openxmlformats.org/officeDocument/2006/relationships/hyperlink" Target="https://library.mededtech.ru/rest/documents/prikazN1130" TargetMode="External"/><Relationship Id="rId20" Type="http://schemas.openxmlformats.org/officeDocument/2006/relationships/hyperlink" Target="https://library.mededtech.ru/rest/documents/prikazN1130/#list_item_p44762" TargetMode="External"/><Relationship Id="rId21" Type="http://schemas.openxmlformats.org/officeDocument/2006/relationships/hyperlink" Target="https://library.mededtech.ru/rest/documents/KP288_23/#list_item_993u5l" TargetMode="External"/><Relationship Id="rId22" Type="http://schemas.openxmlformats.org/officeDocument/2006/relationships/hyperlink" Target="https://library.mededtech.ru/rest/documents/KP288_23/#paragraph_isftl5" TargetMode="External"/><Relationship Id="rId23" Type="http://schemas.openxmlformats.org/officeDocument/2006/relationships/hyperlink" Target="https://library.mededtech.ru/rest/documents/prikazN1130/#list_item_q21ec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